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color w:val="980000"/>
        </w:rPr>
      </w:pPr>
      <w:bookmarkStart w:colFirst="0" w:colLast="0" w:name="_fkn1v986xg1l" w:id="0"/>
      <w:bookmarkEnd w:id="0"/>
      <w:r w:rsidDel="00000000" w:rsidR="00000000" w:rsidRPr="00000000">
        <w:rPr>
          <w:color w:val="980000"/>
          <w:rtl w:val="0"/>
        </w:rPr>
        <w:t xml:space="preserve">Louise Michel pendant la commune de Paris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971550</wp:posOffset>
            </wp:positionV>
            <wp:extent cx="1557338" cy="2366906"/>
            <wp:effectExtent b="0" l="0" r="0" t="0"/>
            <wp:wrapTopAndBottom distB="114300" distT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23669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Biographie 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Document 1 p 158 , montrez les combats de Louise Michel en vous basant sur les documents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80.0" w:type="dxa"/>
        <w:jc w:val="left"/>
        <w:tblInd w:w="-3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80"/>
        <w:tblGridChange w:id="0">
          <w:tblGrid>
            <w:gridCol w:w="9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Montrez en quoi une femme prenant les armes est contraire à l’image de la femme à l’époque 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Quel fut le sort de Louise Michel après sa reddition ?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45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5"/>
        <w:tblGridChange w:id="0">
          <w:tblGrid>
            <w:gridCol w:w="90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Ecrivez une plaidoirie ( discours argumentatif )pour faire entrer Louise Michel au Panthéon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